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30B" w:rsidRPr="00686BCA" w:rsidRDefault="0086330B">
      <w:pPr>
        <w:rPr>
          <w:rFonts w:ascii="Arial" w:hAnsi="Arial" w:cs="Arial"/>
        </w:rPr>
      </w:pPr>
      <w:bookmarkStart w:id="0" w:name="_GoBack"/>
      <w:bookmarkEnd w:id="0"/>
    </w:p>
    <w:p w:rsidR="0086330B" w:rsidRPr="00686BCA" w:rsidRDefault="0086330B">
      <w:pPr>
        <w:rPr>
          <w:rFonts w:ascii="Arial" w:hAnsi="Arial" w:cs="Arial"/>
        </w:rPr>
      </w:pPr>
    </w:p>
    <w:p w:rsidR="0086330B" w:rsidRPr="00686BCA" w:rsidRDefault="0086330B">
      <w:pPr>
        <w:rPr>
          <w:rFonts w:ascii="Arial" w:hAnsi="Arial" w:cs="Arial"/>
        </w:rPr>
      </w:pPr>
    </w:p>
    <w:p w:rsidR="0086330B" w:rsidRPr="00686BCA" w:rsidRDefault="0086330B">
      <w:pPr>
        <w:rPr>
          <w:rFonts w:ascii="Arial" w:hAnsi="Arial" w:cs="Arial"/>
        </w:rPr>
      </w:pPr>
    </w:p>
    <w:p w:rsidR="0086330B" w:rsidRPr="00686BCA" w:rsidRDefault="0086330B">
      <w:pPr>
        <w:rPr>
          <w:rFonts w:ascii="Arial" w:hAnsi="Arial" w:cs="Arial"/>
        </w:rPr>
      </w:pPr>
    </w:p>
    <w:p w:rsidR="0086330B" w:rsidRPr="00686BCA" w:rsidRDefault="0086330B">
      <w:pPr>
        <w:rPr>
          <w:rFonts w:ascii="Arial" w:hAnsi="Arial" w:cs="Arial"/>
        </w:rPr>
      </w:pPr>
    </w:p>
    <w:p w:rsidR="0086330B" w:rsidRPr="00686BCA" w:rsidRDefault="0086330B">
      <w:pPr>
        <w:rPr>
          <w:rFonts w:ascii="Arial" w:hAnsi="Arial" w:cs="Arial"/>
        </w:rPr>
      </w:pPr>
    </w:p>
    <w:p w:rsidR="0086330B" w:rsidRPr="00686BCA" w:rsidRDefault="0086330B">
      <w:pPr>
        <w:rPr>
          <w:rFonts w:ascii="Arial" w:hAnsi="Arial" w:cs="Arial"/>
        </w:rPr>
      </w:pPr>
    </w:p>
    <w:p w:rsidR="00B037E0" w:rsidRPr="00686BCA" w:rsidRDefault="00B037E0" w:rsidP="00B037E0">
      <w:pPr>
        <w:rPr>
          <w:rFonts w:ascii="Arial" w:hAnsi="Arial" w:cs="Arial"/>
        </w:rPr>
      </w:pPr>
    </w:p>
    <w:p w:rsidR="00B037E0" w:rsidRPr="00686BCA" w:rsidRDefault="00B037E0" w:rsidP="00B037E0">
      <w:pPr>
        <w:rPr>
          <w:rFonts w:ascii="Arial" w:hAnsi="Arial" w:cs="Arial"/>
        </w:rPr>
      </w:pPr>
    </w:p>
    <w:p w:rsidR="00B037E0" w:rsidRDefault="00B037E0" w:rsidP="00B037E0">
      <w:pPr>
        <w:rPr>
          <w:rFonts w:ascii="Arial" w:hAnsi="Arial" w:cs="Arial"/>
        </w:rPr>
      </w:pPr>
    </w:p>
    <w:p w:rsidR="00B8139B" w:rsidRPr="00686BCA" w:rsidRDefault="00B8139B" w:rsidP="00B037E0">
      <w:pPr>
        <w:rPr>
          <w:rFonts w:ascii="Arial" w:hAnsi="Arial" w:cs="Arial"/>
        </w:rPr>
      </w:pPr>
    </w:p>
    <w:p w:rsidR="00B037E0" w:rsidRPr="00686BCA" w:rsidRDefault="00B037E0" w:rsidP="00B037E0">
      <w:pPr>
        <w:rPr>
          <w:rFonts w:ascii="Arial" w:hAnsi="Arial" w:cs="Arial"/>
        </w:rPr>
      </w:pPr>
    </w:p>
    <w:p w:rsidR="00B037E0" w:rsidRDefault="00B037E0" w:rsidP="00B037E0">
      <w:pPr>
        <w:rPr>
          <w:rFonts w:ascii="Arial" w:hAnsi="Arial" w:cs="Arial"/>
        </w:rPr>
      </w:pPr>
    </w:p>
    <w:p w:rsidR="00B8139B" w:rsidRDefault="00B8139B" w:rsidP="00B037E0">
      <w:pPr>
        <w:rPr>
          <w:rFonts w:ascii="Arial" w:hAnsi="Arial" w:cs="Arial"/>
        </w:rPr>
      </w:pPr>
    </w:p>
    <w:p w:rsidR="00B8139B" w:rsidRPr="00686BCA" w:rsidRDefault="00B8139B" w:rsidP="00B037E0">
      <w:pPr>
        <w:rPr>
          <w:rFonts w:ascii="Arial" w:hAnsi="Arial" w:cs="Arial"/>
        </w:rPr>
      </w:pPr>
    </w:p>
    <w:p w:rsidR="00B037E0" w:rsidRPr="00686BCA" w:rsidRDefault="00B037E0" w:rsidP="00B037E0">
      <w:pPr>
        <w:rPr>
          <w:rFonts w:ascii="Arial" w:hAnsi="Arial" w:cs="Arial"/>
        </w:rPr>
      </w:pPr>
    </w:p>
    <w:p w:rsidR="00B037E0" w:rsidRPr="00D25182" w:rsidRDefault="00B037E0" w:rsidP="00B037E0">
      <w:pPr>
        <w:pStyle w:val="Heading1"/>
        <w:rPr>
          <w:rFonts w:ascii="Arial" w:hAnsi="Arial" w:cs="Arial"/>
        </w:rPr>
      </w:pPr>
      <w:r w:rsidRPr="00D25182">
        <w:rPr>
          <w:rFonts w:ascii="Arial" w:hAnsi="Arial" w:cs="Arial"/>
        </w:rPr>
        <w:t>APPENDIX A</w:t>
      </w:r>
    </w:p>
    <w:p w:rsidR="00B037E0" w:rsidRPr="00D25182" w:rsidRDefault="00B037E0" w:rsidP="00B037E0">
      <w:pPr>
        <w:jc w:val="center"/>
        <w:rPr>
          <w:rFonts w:ascii="Arial" w:hAnsi="Arial" w:cs="Arial"/>
          <w:b/>
          <w:sz w:val="32"/>
        </w:rPr>
      </w:pPr>
    </w:p>
    <w:p w:rsidR="00B037E0" w:rsidRPr="00686BCA" w:rsidRDefault="00B037E0" w:rsidP="00B037E0">
      <w:pPr>
        <w:pStyle w:val="Heading2"/>
        <w:rPr>
          <w:rFonts w:ascii="Arial" w:hAnsi="Arial" w:cs="Arial"/>
        </w:rPr>
      </w:pPr>
      <w:r w:rsidRPr="00D25182">
        <w:rPr>
          <w:rFonts w:ascii="Arial" w:hAnsi="Arial" w:cs="Arial"/>
        </w:rPr>
        <w:t>Illustration of Planning Process</w:t>
      </w:r>
    </w:p>
    <w:p w:rsidR="00B037E0" w:rsidRPr="00686BCA" w:rsidRDefault="00B037E0" w:rsidP="00B037E0">
      <w:pPr>
        <w:rPr>
          <w:rFonts w:ascii="Arial" w:hAnsi="Arial" w:cs="Arial"/>
        </w:rPr>
      </w:pPr>
    </w:p>
    <w:p w:rsidR="00B037E0" w:rsidRPr="00686BCA" w:rsidRDefault="00B037E0" w:rsidP="00B037E0">
      <w:pPr>
        <w:rPr>
          <w:rFonts w:ascii="Arial" w:hAnsi="Arial" w:cs="Arial"/>
        </w:rPr>
      </w:pPr>
    </w:p>
    <w:p w:rsidR="00B037E0" w:rsidRPr="00686BCA" w:rsidRDefault="00B037E0" w:rsidP="00B037E0">
      <w:pPr>
        <w:rPr>
          <w:rFonts w:ascii="Arial" w:hAnsi="Arial" w:cs="Arial"/>
        </w:rPr>
      </w:pPr>
    </w:p>
    <w:p w:rsidR="00B037E0" w:rsidRPr="00686BCA" w:rsidRDefault="00B037E0" w:rsidP="00B037E0">
      <w:pPr>
        <w:rPr>
          <w:rFonts w:ascii="Arial" w:hAnsi="Arial" w:cs="Arial"/>
        </w:rPr>
      </w:pPr>
    </w:p>
    <w:p w:rsidR="00B037E0" w:rsidRPr="00686BCA" w:rsidRDefault="00B037E0" w:rsidP="00B037E0">
      <w:pPr>
        <w:rPr>
          <w:rFonts w:ascii="Arial" w:hAnsi="Arial" w:cs="Arial"/>
        </w:rPr>
      </w:pPr>
    </w:p>
    <w:p w:rsidR="00B037E0" w:rsidRPr="00686BCA" w:rsidRDefault="00B037E0" w:rsidP="00B037E0">
      <w:pPr>
        <w:rPr>
          <w:rFonts w:ascii="Arial" w:hAnsi="Arial" w:cs="Arial"/>
        </w:rPr>
      </w:pPr>
    </w:p>
    <w:p w:rsidR="00B037E0" w:rsidRPr="00686BCA" w:rsidRDefault="00B037E0" w:rsidP="00B037E0">
      <w:pPr>
        <w:rPr>
          <w:rFonts w:ascii="Arial" w:hAnsi="Arial" w:cs="Arial"/>
        </w:rPr>
      </w:pPr>
    </w:p>
    <w:p w:rsidR="00B037E0" w:rsidRPr="00686BCA" w:rsidRDefault="00B037E0" w:rsidP="00B037E0">
      <w:pPr>
        <w:rPr>
          <w:rFonts w:ascii="Arial" w:hAnsi="Arial" w:cs="Arial"/>
        </w:rPr>
      </w:pPr>
    </w:p>
    <w:p w:rsidR="00B037E0" w:rsidRPr="00686BCA" w:rsidRDefault="00B037E0" w:rsidP="00B037E0">
      <w:pPr>
        <w:rPr>
          <w:rFonts w:ascii="Arial" w:hAnsi="Arial" w:cs="Arial"/>
        </w:rPr>
      </w:pPr>
    </w:p>
    <w:p w:rsidR="0086330B" w:rsidRPr="00686BCA" w:rsidRDefault="003558DD">
      <w:pPr>
        <w:rPr>
          <w:rFonts w:ascii="Arial" w:hAnsi="Arial" w:cs="Arial"/>
        </w:rPr>
      </w:pPr>
      <w:r w:rsidRPr="00686BCA">
        <w:rPr>
          <w:rFonts w:ascii="Arial" w:hAnsi="Arial" w:cs="Arial"/>
        </w:rPr>
        <w:br w:type="page"/>
      </w:r>
      <w:r w:rsidR="004F20B4">
        <w:rPr>
          <w:rFonts w:ascii="Arial" w:hAnsi="Arial" w:cs="Arial"/>
        </w:rPr>
      </w:r>
      <w:r w:rsidR="004F20B4">
        <w:rPr>
          <w:rFonts w:ascii="Arial" w:hAnsi="Arial" w:cs="Arial"/>
        </w:rPr>
        <w:pict>
          <v:group id="_x0000_s1530" editas="canvas" style="width:523.5pt;height:711.75pt;mso-position-horizontal-relative:char;mso-position-vertical-relative:line" coordorigin="607,4028" coordsize="10146,779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531" type="#_x0000_t75" style="position:absolute;left:607;top:4028;width:10146;height:7797" o:preferrelative="f">
              <v:fill o:detectmouseclick="t"/>
              <v:path o:extrusionok="t" o:connecttype="none"/>
              <o:lock v:ext="edit" aspectratio="f" text="t"/>
            </v:shape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535" type="#_x0000_t33" style="position:absolute;left:3750;top:6562;width:703;height:511" o:connectortype="elbow" o:regroupid="6" adj="-129064,-140435,-129064">
              <v:stroke endarrow="block"/>
            </v:shape>
            <v:group id="_x0000_s1589" style="position:absolute;left:607;top:4127;width:9594;height:6014" coordorigin="607,4127" coordsize="9594,6014">
              <v:rect id="_x0000_s1559" style="position:absolute;left:3572;top:4127;width:4884;height:197" o:regroupid="9" filled="f" stroked="f">
                <v:textbox style="mso-next-textbox:#_x0000_s1559" inset="0,0,0,0">
                  <w:txbxContent>
                    <w:p w:rsidR="00122063" w:rsidRPr="00333641" w:rsidRDefault="00122063" w:rsidP="00333641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D25182">
                        <w:rPr>
                          <w:b/>
                          <w:color w:val="000000"/>
                          <w:sz w:val="28"/>
                          <w:szCs w:val="28"/>
                        </w:rPr>
                        <w:t>Integrated Resource Planning Process</w:t>
                      </w:r>
                    </w:p>
                  </w:txbxContent>
                </v:textbox>
              </v:rect>
              <v:group id="_x0000_s1586" style="position:absolute;left:607;top:4521;width:9594;height:5620" coordorigin="607,4521" coordsize="9594,5620" o:regroupid="9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560" type="#_x0000_t176" style="position:absolute;left:607;top:5014;width:2441;height:396" o:regroupid="7" filled="f" fillcolor="#c9f">
                  <v:fill color2="#5e4776" rotate="t"/>
                  <v:textbox style="mso-next-textbox:#_x0000_s1560" inset="7.5pt,3.75pt,7.5pt,3.75pt">
                    <w:txbxContent>
                      <w:p w:rsidR="00122063" w:rsidRDefault="00122063" w:rsidP="00707D0E">
                        <w:pPr>
                          <w:jc w:val="center"/>
                        </w:pPr>
                        <w:r>
                          <w:t>LOAD</w:t>
                        </w:r>
                      </w:p>
                      <w:p w:rsidR="00122063" w:rsidRDefault="00122063" w:rsidP="00707D0E">
                        <w:pPr>
                          <w:jc w:val="center"/>
                        </w:pPr>
                        <w:r>
                          <w:t xml:space="preserve"> FORECAST</w:t>
                        </w:r>
                      </w:p>
                    </w:txbxContent>
                  </v:textbox>
                </v:shape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561" type="#_x0000_t109" style="position:absolute;left:2002;top:5507;width:2094;height:304" o:regroupid="7" filled="f" fillcolor="#9c0">
                  <v:fill color2="#475e00" rotate="t"/>
                  <v:textbox style="mso-next-textbox:#_x0000_s1561" inset="7.5pt,3.75pt,7.5pt,3.75pt">
                    <w:txbxContent>
                      <w:p w:rsidR="00122063" w:rsidRPr="006B6943" w:rsidRDefault="00122063" w:rsidP="00707D0E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6B6943">
                          <w:rPr>
                            <w:sz w:val="18"/>
                            <w:szCs w:val="18"/>
                          </w:rPr>
                          <w:t>ECONOMIC PANEL</w:t>
                        </w:r>
                      </w:p>
                    </w:txbxContent>
                  </v:textbox>
                </v:shape>
                <v:shape id="_x0000_s1562" type="#_x0000_t176" style="position:absolute;left:1130;top:7084;width:2441;height:395" o:regroupid="7" filled="f" fillcolor="#c9f">
                  <v:fill color2="#5e4776" rotate="t"/>
                  <v:textbox style="mso-next-textbox:#_x0000_s1562" inset="7.5pt,3.75pt,7.5pt,3.75pt">
                    <w:txbxContent>
                      <w:p w:rsidR="00122063" w:rsidRDefault="00122063" w:rsidP="00707D0E">
                        <w:pPr>
                          <w:jc w:val="center"/>
                        </w:pPr>
                        <w:r>
                          <w:t>SUPPLY OPTIONS BUSBAR SCREENING</w:t>
                        </w:r>
                      </w:p>
                    </w:txbxContent>
                  </v:textbox>
                </v:shape>
                <v:shape id="_x0000_s1563" type="#_x0000_t109" style="position:absolute;left:781;top:7676;width:2094;height:304" o:regroupid="7" filled="f" fillcolor="#9c0">
                  <v:fill color2="#475e00" rotate="t"/>
                  <v:textbox style="mso-next-textbox:#_x0000_s1563" inset="7.5pt,3.75pt,7.5pt,3.75pt">
                    <w:txbxContent>
                      <w:p w:rsidR="00122063" w:rsidRPr="006B6943" w:rsidRDefault="00122063" w:rsidP="00707D0E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TECHNOLOGY REVIEW</w:t>
                        </w:r>
                      </w:p>
                    </w:txbxContent>
                  </v:textbox>
                </v:shape>
                <v:shape id="_x0000_s1564" type="#_x0000_t176" style="position:absolute;left:1308;top:6365;width:2442;height:393" o:regroupid="7" filled="f" fillcolor="#c9f">
                  <v:fill color2="#5e4776" rotate="t"/>
                  <v:textbox style="mso-next-textbox:#_x0000_s1564" inset="7.5pt,3.75pt,7.5pt,3.75pt">
                    <w:txbxContent>
                      <w:p w:rsidR="00122063" w:rsidRDefault="00122063" w:rsidP="00707D0E">
                        <w:pPr>
                          <w:jc w:val="center"/>
                        </w:pPr>
                        <w:r>
                          <w:t>FUEL FORECAST</w:t>
                        </w:r>
                      </w:p>
                    </w:txbxContent>
                  </v:textbox>
                </v:shape>
                <v:shape id="_x0000_s1565" type="#_x0000_t176" style="position:absolute;left:4096;top:8169;width:2442;height:396" o:regroupid="7" filled="f" fillcolor="#c9f">
                  <v:fill color2="#5e4776" rotate="t"/>
                  <v:textbox style="mso-next-textbox:#_x0000_s1565">
                    <w:txbxContent>
                      <w:p w:rsidR="00122063" w:rsidRDefault="00122063" w:rsidP="00707D0E">
                        <w:r>
                          <w:t>RELIABILITY STUDY</w:t>
                        </w:r>
                      </w:p>
                      <w:p w:rsidR="00122063" w:rsidRDefault="00122063" w:rsidP="00707D0E">
                        <w:pPr>
                          <w:jc w:val="center"/>
                        </w:pPr>
                        <w:r>
                          <w:t>(SERVM)</w:t>
                        </w:r>
                      </w:p>
                    </w:txbxContent>
                  </v:textbox>
                </v:shape>
                <v:shape id="_x0000_s1566" type="#_x0000_t109" style="position:absolute;left:3049;top:8859;width:2094;height:298" o:regroupid="7" filled="f" fillcolor="#9c0">
                  <v:fill color2="#475e00" rotate="t"/>
                  <v:textbox style="mso-next-textbox:#_x0000_s1566">
                    <w:txbxContent>
                      <w:p w:rsidR="00122063" w:rsidRPr="001D537A" w:rsidRDefault="00122063" w:rsidP="00707D0E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EXISTING FLEET OPERATIONS</w:t>
                        </w:r>
                      </w:p>
                    </w:txbxContent>
                  </v:textbox>
                </v:shape>
                <v:shape id="_x0000_s1567" type="#_x0000_t109" style="position:absolute;left:3049;top:9253;width:2094;height:296" o:regroupid="7" filled="f" fillcolor="#9c0">
                  <v:fill color2="#475e00" rotate="t"/>
                  <v:textbox style="mso-next-textbox:#_x0000_s1567">
                    <w:txbxContent>
                      <w:p w:rsidR="00122063" w:rsidRPr="001D537A" w:rsidRDefault="00122063" w:rsidP="00707D0E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1D537A">
                          <w:rPr>
                            <w:sz w:val="18"/>
                            <w:szCs w:val="18"/>
                          </w:rPr>
                          <w:t>VALUE OF SERVICE RELIABILTY</w:t>
                        </w:r>
                      </w:p>
                    </w:txbxContent>
                  </v:textbox>
                </v:shape>
                <v:shape id="_x0000_s1568" type="#_x0000_t176" style="position:absolute;left:3398;top:4521;width:2442;height:396" o:regroupid="7" filled="f" fillcolor="#c9f">
                  <v:fill color2="#5e4776" rotate="t"/>
                  <v:textbox style="mso-next-textbox:#_x0000_s1568" inset="7.5pt,3.75pt,7.5pt,3.75pt">
                    <w:txbxContent>
                      <w:p w:rsidR="00122063" w:rsidRDefault="00122063" w:rsidP="00707D0E">
                        <w:pPr>
                          <w:jc w:val="center"/>
                        </w:pPr>
                        <w:r>
                          <w:t>EXISTING FLEET OPERATIONS</w:t>
                        </w:r>
                      </w:p>
                    </w:txbxContent>
                  </v:textbox>
                </v:shape>
                <v:shape id="_x0000_s1569" type="#_x0000_t176" style="position:absolute;left:4793;top:5605;width:2442;height:396" o:regroupid="7" filled="f" fillcolor="#c9f">
                  <v:fill color2="#5e4776" rotate="t"/>
                  <v:textbox style="mso-next-textbox:#_x0000_s1569" inset="7.5pt,3.75pt,7.5pt,3.75pt">
                    <w:txbxContent>
                      <w:p w:rsidR="00122063" w:rsidRDefault="00122063" w:rsidP="00707D0E">
                        <w:pPr>
                          <w:jc w:val="center"/>
                        </w:pPr>
                        <w:r>
                          <w:t xml:space="preserve">PURCHASED POWER </w:t>
                        </w:r>
                      </w:p>
                      <w:p w:rsidR="00122063" w:rsidRDefault="00122063" w:rsidP="00707D0E">
                        <w:pPr>
                          <w:jc w:val="center"/>
                        </w:pPr>
                        <w:r>
                          <w:t>AGREEMENTS</w:t>
                        </w:r>
                      </w:p>
                    </w:txbxContent>
                  </v:textbox>
                </v:shape>
                <v:oval id="_x0000_s1570" style="position:absolute;left:4096;top:6986;width:2442;height:591" o:regroupid="7" filled="f" fillcolor="red">
                  <v:fill color2="#820000" rotate="t"/>
                  <v:textbox style="mso-next-textbox:#_x0000_s1570" inset="4.5pt,2.25pt,4.5pt,2.25pt">
                    <w:txbxContent>
                      <w:p w:rsidR="00122063" w:rsidRPr="00333641" w:rsidRDefault="00122063" w:rsidP="00707D0E">
                        <w:pPr>
                          <w:jc w:val="center"/>
                          <w:rPr>
                            <w:b/>
                          </w:rPr>
                        </w:pPr>
                        <w:r w:rsidRPr="00333641">
                          <w:rPr>
                            <w:b/>
                          </w:rPr>
                          <w:t>BENCHMARK PLAN</w:t>
                        </w:r>
                      </w:p>
                      <w:p w:rsidR="00122063" w:rsidRPr="00333641" w:rsidRDefault="00122063" w:rsidP="00707D0E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(STRATEGIST)</w:t>
                        </w:r>
                      </w:p>
                      <w:p w:rsidR="00122063" w:rsidRDefault="00122063" w:rsidP="00707D0E"/>
                    </w:txbxContent>
                  </v:textbox>
                </v:oval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571" type="#_x0000_t116" style="position:absolute;left:6886;top:6394;width:2790;height:419" o:regroupid="7" filled="f" fillcolor="#9cf">
                  <v:fill color2="#475e76" rotate="t"/>
                  <v:textbox style="mso-next-textbox:#_x0000_s1571" inset="7.5pt,3.75pt,7.5pt,3.75pt">
                    <w:txbxContent>
                      <w:p w:rsidR="00122063" w:rsidRDefault="00122063" w:rsidP="00707D0E">
                        <w:pPr>
                          <w:jc w:val="center"/>
                        </w:pPr>
                        <w:r>
                          <w:t>SENSITIVITIES &amp; PLANNING SCENARIOS</w:t>
                        </w:r>
                      </w:p>
                    </w:txbxContent>
                  </v:textbox>
                </v:shape>
                <v:shape id="_x0000_s1572" type="#_x0000_t116" style="position:absolute;left:6955;top:7075;width:2792;height:419" o:regroupid="7" filled="f" fillcolor="#9cf">
                  <v:fill color2="#475e76" rotate="t"/>
                  <v:textbox style="mso-next-textbox:#_x0000_s1572" inset="7.5pt,3.75pt,7.5pt,3.75pt">
                    <w:txbxContent>
                      <w:p w:rsidR="00122063" w:rsidRDefault="00122063" w:rsidP="00707D0E">
                        <w:pPr>
                          <w:jc w:val="center"/>
                        </w:pPr>
                        <w:r>
                          <w:t>INTEGRATE SUPPLY &amp; DEMAND SIDE OPTIONS</w:t>
                        </w:r>
                      </w:p>
                    </w:txbxContent>
                  </v:textbox>
                </v:shape>
                <v:shape id="_x0000_s1573" type="#_x0000_t109" style="position:absolute;left:7307;top:7709;width:2091;height:296" o:regroupid="7" filled="f" fillcolor="#9c0">
                  <v:fill color2="#475e00" rotate="t"/>
                  <v:textbox style="mso-next-textbox:#_x0000_s1573">
                    <w:txbxContent>
                      <w:p w:rsidR="00122063" w:rsidRDefault="00122063" w:rsidP="00707D0E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DSM SCREENING</w:t>
                        </w:r>
                      </w:p>
                      <w:p w:rsidR="00122063" w:rsidRPr="001D537A" w:rsidRDefault="00122063" w:rsidP="00707D0E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(PRICEM)</w:t>
                        </w:r>
                      </w:p>
                    </w:txbxContent>
                  </v:textbox>
                </v:shape>
                <v:oval id="_x0000_s1574" style="position:absolute;left:7759;top:5014;width:2442;height:591" o:regroupid="7" filled="f" fillcolor="#f90">
                  <v:fill color2="#764700" rotate="t"/>
                  <v:textbox style="mso-next-textbox:#_x0000_s1574" inset="4.5pt,2.25pt,4.5pt,2.25pt">
                    <w:txbxContent>
                      <w:p w:rsidR="00122063" w:rsidRPr="00333641" w:rsidRDefault="00122063" w:rsidP="00707D0E">
                        <w:pPr>
                          <w:jc w:val="center"/>
                          <w:rPr>
                            <w:b/>
                          </w:rPr>
                        </w:pPr>
                        <w:r w:rsidRPr="00333641">
                          <w:rPr>
                            <w:b/>
                            <w:sz w:val="18"/>
                            <w:szCs w:val="18"/>
                          </w:rPr>
                          <w:t>FINAL INTEGRATED RESOURCE PLAN</w:t>
                        </w:r>
                      </w:p>
                      <w:p w:rsidR="00122063" w:rsidRDefault="00122063" w:rsidP="00707D0E"/>
                    </w:txbxContent>
                  </v:textbox>
                </v:oval>
                <v:shape id="_x0000_s1575" type="#_x0000_t109" style="position:absolute;left:7759;top:8267;width:2094;height:304" o:regroupid="7" filled="f" fillcolor="yellow">
                  <v:fill color2="#767600" rotate="t"/>
                  <v:textbox style="mso-next-textbox:#_x0000_s1575" inset="7.5pt,3.75pt,7.5pt,3.75pt">
                    <w:txbxContent>
                      <w:p w:rsidR="00122063" w:rsidRPr="001D537A" w:rsidRDefault="00122063" w:rsidP="00707D0E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MARGINAL ENERGY COSTS</w:t>
                        </w:r>
                      </w:p>
                    </w:txbxContent>
                  </v:textbox>
                </v:shape>
                <v:shape id="_x0000_s1576" type="#_x0000_t109" style="position:absolute;left:7759;top:8662;width:2094;height:298" o:regroupid="7" filled="f" fillcolor="yellow">
                  <v:fill color2="#767600" rotate="t"/>
                  <v:textbox style="mso-next-textbox:#_x0000_s1576" inset="7.5pt,3.75pt,7.5pt,3.75pt">
                    <w:txbxContent>
                      <w:p w:rsidR="00122063" w:rsidRPr="001D537A" w:rsidRDefault="00122063" w:rsidP="00707D0E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MARGINAL CAPACITY COSTS</w:t>
                        </w:r>
                      </w:p>
                    </w:txbxContent>
                  </v:textbox>
                </v:shape>
                <v:shape id="_x0000_s1577" type="#_x0000_t109" style="position:absolute;left:7759;top:9056;width:2094;height:298" o:regroupid="7" filled="f" fillcolor="yellow">
                  <v:fill color2="#767600" rotate="t"/>
                  <v:textbox style="mso-next-textbox:#_x0000_s1577" inset="7.5pt,3.75pt,7.5pt,3.75pt">
                    <w:txbxContent>
                      <w:p w:rsidR="00122063" w:rsidRPr="001D537A" w:rsidRDefault="00122063" w:rsidP="00707D0E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RELIABILITY PROFILE (SERVM)</w:t>
                        </w:r>
                      </w:p>
                    </w:txbxContent>
                  </v:textbox>
                </v:shape>
                <v:shape id="_x0000_s1578" type="#_x0000_t109" style="position:absolute;left:2002;top:5901;width:2094;height:304" o:regroupid="7" filled="f" fillcolor="#9c0">
                  <v:fill color2="#475e00" rotate="t"/>
                  <v:textbox style="mso-next-textbox:#_x0000_s1578" inset="7.5pt,3.75pt,7.5pt,3.75pt">
                    <w:txbxContent>
                      <w:p w:rsidR="00122063" w:rsidRPr="006B6943" w:rsidRDefault="00122063" w:rsidP="00707D0E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CUSTOMER RESEARCH</w:t>
                        </w:r>
                      </w:p>
                    </w:txbxContent>
                  </v:textbox>
                </v:shape>
                <v:shape id="_x0000_s1579" type="#_x0000_t109" style="position:absolute;left:7759;top:9451;width:2094;height:298" o:regroupid="7" filled="f" fillcolor="yellow">
                  <v:fill color2="#767600" rotate="t"/>
                  <v:textbox style="mso-next-textbox:#_x0000_s1579" inset="7.5pt,3.75pt,7.5pt,3.75pt">
                    <w:txbxContent>
                      <w:p w:rsidR="00122063" w:rsidRPr="001D537A" w:rsidRDefault="00122063" w:rsidP="00707D0E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CUSTOMER RESEARCH</w:t>
                        </w:r>
                      </w:p>
                    </w:txbxContent>
                  </v:textbox>
                </v:shape>
                <v:shape id="_x0000_s1580" type="#_x0000_t109" style="position:absolute;left:1455;top:8217;width:2094;height:304" o:regroupid="7" filled="f" fillcolor="yellow">
                  <v:fill color2="#767600" rotate="t"/>
                  <v:textbox style="mso-next-textbox:#_x0000_s1580" inset="7.5pt,3.75pt,7.5pt,3.75pt">
                    <w:txbxContent>
                      <w:p w:rsidR="00122063" w:rsidRPr="001D537A" w:rsidRDefault="00122063" w:rsidP="00707D0E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ENGINEERING COST ANALYSIS</w:t>
                        </w:r>
                      </w:p>
                    </w:txbxContent>
                  </v:textbox>
                </v:shape>
                <v:shape id="_x0000_s1581" type="#_x0000_t109" style="position:absolute;left:7759;top:9845;width:2094;height:296" o:regroupid="7" filled="f" fillcolor="yellow">
                  <v:fill color2="#767600" rotate="t"/>
                  <v:textbox style="mso-next-textbox:#_x0000_s1581" inset="7.5pt,3.75pt,7.5pt,3.75pt">
                    <w:txbxContent>
                      <w:p w:rsidR="00122063" w:rsidRPr="001D537A" w:rsidRDefault="00122063" w:rsidP="00707D0E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PRELIMINARY IRP</w:t>
                        </w:r>
                      </w:p>
                    </w:txbxContent>
                  </v:textbox>
                </v:shape>
                <v:shape id="_x0000_s1582" type="#_x0000_t109" style="position:absolute;left:7759;top:5901;width:2092;height:298" o:regroupid="7" filled="f" fillcolor="#9c0">
                  <v:fill color2="#475e00" rotate="t"/>
                  <v:textbox style="mso-next-textbox:#_x0000_s1582">
                    <w:txbxContent>
                      <w:p w:rsidR="00122063" w:rsidRPr="001D537A" w:rsidRDefault="00122063" w:rsidP="00707D0E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FINANCIAL ASSESSMENT</w:t>
                        </w:r>
                      </w:p>
                    </w:txbxContent>
                  </v:textbox>
                </v:shape>
              </v:group>
            </v:group>
            <v:group id="_x0000_s1590" style="position:absolute;left:607;top:4917;width:9594;height:5076" coordorigin="607,4917" coordsize="9594,5076">
              <v:shape id="_x0000_s1533" type="#_x0000_t33" style="position:absolute;left:1828;top:5410;width:173;height:249;rotation:180" o:connectortype="elbow" o:regroupid="8" adj="-304934,-209734,-304934">
                <v:stroke endarrow="block"/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534" type="#_x0000_t32" style="position:absolute;left:3571;top:7282;width:525;height:1" o:connectortype="elbow" o:regroupid="8" adj="-165573,-1,-165573">
                <v:stroke endarrow="block"/>
              </v:shape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_x0000_s1536" type="#_x0000_t34" style="position:absolute;left:607;top:5212;width:701;height:1350;rotation:180" o:connectortype="elbow" o:regroupid="8" adj="32355,-53176,-54105">
                <v:stroke endarrow="block"/>
              </v:shape>
              <v:shape id="_x0000_s1537" type="#_x0000_t34" style="position:absolute;left:2277;top:6832;width:326;height:178;rotation:90" o:connectortype="elbow" o:regroupid="8" adj="10764,-758243,-111298">
                <v:stroke endarrow="block"/>
              </v:shape>
              <v:shape id="_x0000_s1538" type="#_x0000_t32" style="position:absolute;left:5022;top:7872;width:592;height:1;rotation:270" o:connectortype="elbow" o:regroupid="8" adj="-118850,-1,-118850">
                <v:stroke endarrow="block"/>
              </v:shape>
              <v:shape id="_x0000_s1539" type="#_x0000_t34" style="position:absolute;left:781;top:7282;width:349;height:546;rotation:180;flip:x" o:connectortype="elbow" o:regroupid="8" adj="-21600,-181509,76080">
                <v:stroke endarrow="block"/>
              </v:shape>
              <v:shape id="_x0000_s1540" type="#_x0000_t34" style="position:absolute;left:3458;top:5912;width:2156;height:166;rotation:90" o:connectortype="elbow" o:regroupid="8" adj="10361,-386905,-28690">
                <v:stroke endarrow="block"/>
              </v:shape>
              <v:shape id="_x0000_s1541" type="#_x0000_t34" style="position:absolute;left:5173;top:6145;width:985;height:697;rotation:90" o:connectortype="elbow" o:regroupid="8" adj="10794,-151260,-80060">
                <v:stroke endarrow="block"/>
              </v:shape>
              <v:shape id="_x0000_s1542" type="#_x0000_t33" style="position:absolute;left:5143;top:8565;width:174;height:443;flip:y" o:connectortype="elbow" o:regroupid="8" adj="-696147,281549,-696147">
                <v:stroke endarrow="block"/>
              </v:shape>
              <v:shape id="_x0000_s1543" type="#_x0000_t33" style="position:absolute;left:5143;top:8565;width:174;height:836;flip:y" o:connectortype="elbow" o:regroupid="8" adj="-696147,159240,-696147">
                <v:stroke endarrow="block"/>
              </v:shape>
              <v:shape id="_x0000_s1544" type="#_x0000_t34" style="position:absolute;left:9675;top:6604;width:72;height:681;flip:x y" o:connectortype="elbow" o:regroupid="8" adj="-105081,128349,3070703">
                <v:stroke endarrow="block"/>
              </v:shape>
              <v:shape id="_x0000_s1545" type="#_x0000_t34" style="position:absolute;left:6538;top:7282;width:416;height:3" o:connectortype="elbow" o:regroupid="8" adj=",-31885920,-362076">
                <v:stroke endarrow="block"/>
              </v:shape>
              <v:shape id="_x0000_s1546" type="#_x0000_t34" style="position:absolute;left:8244;top:7601;width:215;height:2;rotation:270;flip:x" o:connectortype="elbow" o:regroupid="8" adj="10827,88138800,-499108">
                <v:stroke endarrow="block"/>
              </v:shape>
              <v:shape id="_x0000_s1547" type="#_x0000_t34" style="position:absolute;left:9397;top:7857;width:456;height:562;flip:x y" o:connectortype="elbow" o:regroupid="8" adj="-16499,199095,488482">
                <v:stroke endarrow="block"/>
              </v:shape>
              <v:shape id="_x0000_s1548" type="#_x0000_t34" style="position:absolute;left:9397;top:7857;width:456;height:954;flip:x y" o:connectortype="elbow" o:regroupid="8" adj="-16499,126141,488482">
                <v:stroke endarrow="block"/>
              </v:shape>
              <v:shape id="_x0000_s1549" type="#_x0000_t34" style="position:absolute;left:9397;top:7857;width:456;height:1348;flip:x y" o:connectortype="elbow" o:regroupid="8" adj="-16499,95598,488482">
                <v:stroke endarrow="block"/>
              </v:shape>
              <v:shape id="_x0000_s1550" type="#_x0000_t34" style="position:absolute;left:9747;top:5310;width:454;height:1975;flip:y" o:connectortype="elbow" o:regroupid="8" adj="38215,44242,-485538">
                <v:stroke endarrow="block"/>
              </v:shape>
              <v:shape id="_x0000_s1551" type="#_x0000_t33" style="position:absolute;left:1828;top:5410;width:173;height:644;rotation:180" o:connectortype="elbow" o:regroupid="8" adj="-304934,-94452,-304934">
                <v:stroke endarrow="block"/>
              </v:shape>
              <v:shape id="_x0000_s1552" type="#_x0000_t34" style="position:absolute;left:9397;top:7857;width:456;height:1743;flip:x y" o:connectortype="elbow" o:regroupid="8" adj="-16499,78831,488482">
                <v:stroke endarrow="block"/>
              </v:shape>
              <v:shape id="_x0000_s1553" type="#_x0000_t34" style="position:absolute;left:9397;top:7857;width:456;height:2136;flip:x y" o:connectortype="elbow" o:regroupid="8" adj="-16499,68295,488482">
                <v:stroke endarrow="block"/>
              </v:shape>
              <v:shape id="_x0000_s1554" type="#_x0000_t34" style="position:absolute;left:8745;top:5665;width:296;height:175;rotation:90" o:connectortype="elbow" o:regroupid="8" adj="10780,-518280,-388401">
                <v:stroke endarrow="block"/>
              </v:shape>
              <v:shape id="_x0000_s1555" type="#_x0000_t34" style="position:absolute;left:2046;top:7762;width:237;height:674;rotation:270;flip:x" o:connectortype="elbow" o:regroupid="8" adj="10825,282041,-151848">
                <v:stroke endarrow="block"/>
              </v:shape>
              <v:shape id="_x0000_s1556" type="#_x0000_t34" style="position:absolute;left:3549;top:8368;width:547;height:1;flip:y" o:connectortype="elbow" o:regroupid="8" adj="10762,67435200,-157940">
                <v:stroke endarrow="block"/>
              </v:shape>
              <v:shape id="_x0000_s1557" type="#_x0000_t34" style="position:absolute;left:8445;top:6035;width:195;height:524;rotation:270" o:connectortype="elbow" o:regroupid="8" adj=",-229974,-546492">
                <v:stroke endarrow="block"/>
              </v:shape>
              <v:shape id="_x0000_s1585" type="#_x0000_t33" style="position:absolute;left:3048;top:5212;width:1405;height:1861" o:connectortype="elbow" o:regroupid="8" adj="-53732,-22904,-53732">
                <v:stroke endarrow="block"/>
              </v:shape>
            </v:group>
            <w10:wrap type="none"/>
            <w10:anchorlock/>
          </v:group>
        </w:pict>
      </w:r>
    </w:p>
    <w:sectPr w:rsidR="0086330B" w:rsidRPr="00686BCA" w:rsidSect="004132E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720" w:bottom="1440" w:left="72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4FD" w:rsidRDefault="00AB64FD">
      <w:r>
        <w:separator/>
      </w:r>
    </w:p>
  </w:endnote>
  <w:endnote w:type="continuationSeparator" w:id="0">
    <w:p w:rsidR="00AB64FD" w:rsidRDefault="00AB64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D97" w:rsidRDefault="00105D9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D97" w:rsidRDefault="00105D9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D97" w:rsidRDefault="00105D9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4FD" w:rsidRDefault="00AB64FD">
      <w:r>
        <w:separator/>
      </w:r>
    </w:p>
  </w:footnote>
  <w:footnote w:type="continuationSeparator" w:id="0">
    <w:p w:rsidR="00AB64FD" w:rsidRDefault="00AB64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D97" w:rsidRDefault="00105D9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063" w:rsidRPr="00105D97" w:rsidRDefault="00EA54CA">
    <w:pPr>
      <w:pStyle w:val="Header"/>
      <w:jc w:val="right"/>
      <w:rPr>
        <w:b/>
        <w:sz w:val="24"/>
      </w:rPr>
    </w:pPr>
    <w:r w:rsidRPr="00105D97">
      <w:rPr>
        <w:b/>
        <w:sz w:val="24"/>
      </w:rPr>
      <w:t>PUBLIC DISCLOSURE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D97" w:rsidRDefault="00105D9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00"/>
  <w:removePersonalInformation/>
  <w:removeDateAndTime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/>
  <w:rsids>
    <w:rsidRoot w:val="00822A6E"/>
    <w:rsid w:val="00022739"/>
    <w:rsid w:val="00027EDE"/>
    <w:rsid w:val="00105D97"/>
    <w:rsid w:val="00122063"/>
    <w:rsid w:val="00137B14"/>
    <w:rsid w:val="00192FA7"/>
    <w:rsid w:val="001B34D6"/>
    <w:rsid w:val="001D537A"/>
    <w:rsid w:val="00220F36"/>
    <w:rsid w:val="00333641"/>
    <w:rsid w:val="003558DD"/>
    <w:rsid w:val="003561FC"/>
    <w:rsid w:val="003667D1"/>
    <w:rsid w:val="00391024"/>
    <w:rsid w:val="00396AAB"/>
    <w:rsid w:val="003A092F"/>
    <w:rsid w:val="003B29F1"/>
    <w:rsid w:val="003B73AF"/>
    <w:rsid w:val="003E7800"/>
    <w:rsid w:val="004132E0"/>
    <w:rsid w:val="004431F7"/>
    <w:rsid w:val="004A0317"/>
    <w:rsid w:val="004F20B4"/>
    <w:rsid w:val="004F6C05"/>
    <w:rsid w:val="005B3880"/>
    <w:rsid w:val="005B524D"/>
    <w:rsid w:val="005C0735"/>
    <w:rsid w:val="005F6426"/>
    <w:rsid w:val="00627DC9"/>
    <w:rsid w:val="00674929"/>
    <w:rsid w:val="00686BCA"/>
    <w:rsid w:val="006A4B23"/>
    <w:rsid w:val="006B6943"/>
    <w:rsid w:val="006B7BD5"/>
    <w:rsid w:val="00707D0E"/>
    <w:rsid w:val="00735A03"/>
    <w:rsid w:val="00752206"/>
    <w:rsid w:val="007B1470"/>
    <w:rsid w:val="007E0B0C"/>
    <w:rsid w:val="008030DE"/>
    <w:rsid w:val="00822A6E"/>
    <w:rsid w:val="0086330B"/>
    <w:rsid w:val="00863989"/>
    <w:rsid w:val="008760EC"/>
    <w:rsid w:val="00876BAD"/>
    <w:rsid w:val="009170DF"/>
    <w:rsid w:val="009518F9"/>
    <w:rsid w:val="009A2B79"/>
    <w:rsid w:val="00A33CB0"/>
    <w:rsid w:val="00AB64FD"/>
    <w:rsid w:val="00AF6DF1"/>
    <w:rsid w:val="00B037E0"/>
    <w:rsid w:val="00B55223"/>
    <w:rsid w:val="00B8139B"/>
    <w:rsid w:val="00B96F66"/>
    <w:rsid w:val="00BC1CA7"/>
    <w:rsid w:val="00BF03FD"/>
    <w:rsid w:val="00C22752"/>
    <w:rsid w:val="00C477CA"/>
    <w:rsid w:val="00C809A1"/>
    <w:rsid w:val="00CD26BC"/>
    <w:rsid w:val="00CD2968"/>
    <w:rsid w:val="00CF77D4"/>
    <w:rsid w:val="00D10F71"/>
    <w:rsid w:val="00D17296"/>
    <w:rsid w:val="00D21DF7"/>
    <w:rsid w:val="00D25182"/>
    <w:rsid w:val="00D25AEC"/>
    <w:rsid w:val="00DC4CA0"/>
    <w:rsid w:val="00E3273F"/>
    <w:rsid w:val="00E370A6"/>
    <w:rsid w:val="00E6244A"/>
    <w:rsid w:val="00E63DD9"/>
    <w:rsid w:val="00EA54CA"/>
    <w:rsid w:val="00EC73F0"/>
    <w:rsid w:val="00F0707F"/>
    <w:rsid w:val="00FA5E85"/>
    <w:rsid w:val="00FD1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  <o:rules v:ext="edit">
        <o:r id="V:Rule27" type="connector" idref="#_x0000_s1541">
          <o:proxy start="" idref="#_x0000_s1569" connectloc="2"/>
          <o:proxy end="" idref="#_x0000_s1570" connectloc="0"/>
        </o:r>
        <o:r id="V:Rule28" type="connector" idref="#_x0000_s1585">
          <o:proxy start="" idref="#_x0000_s1560" connectloc="3"/>
          <o:proxy end="" idref="#_x0000_s1570" connectloc="1"/>
        </o:r>
        <o:r id="V:Rule29" type="connector" idref="#_x0000_s1542">
          <o:proxy start="" idref="#_x0000_s1566" connectloc="3"/>
          <o:proxy end="" idref="#_x0000_s1565" connectloc="2"/>
        </o:r>
        <o:r id="V:Rule30" type="connector" idref="#_x0000_s1550">
          <o:proxy start="" idref="#_x0000_s1572" connectloc="3"/>
          <o:proxy end="" idref="#_x0000_s1574" connectloc="6"/>
        </o:r>
        <o:r id="V:Rule31" type="connector" idref="#_x0000_s1537">
          <o:proxy start="" idref="#_x0000_s1564" connectloc="2"/>
          <o:proxy end="" idref="#_x0000_s1562" connectloc="0"/>
        </o:r>
        <o:r id="V:Rule32" type="connector" idref="#_x0000_s1536">
          <o:proxy start="" idref="#_x0000_s1564" connectloc="1"/>
          <o:proxy end="" idref="#_x0000_s1560" connectloc="1"/>
        </o:r>
        <o:r id="V:Rule33" type="connector" idref="#_x0000_s1549">
          <o:proxy start="" idref="#_x0000_s1577" connectloc="3"/>
          <o:proxy end="" idref="#_x0000_s1573" connectloc="3"/>
        </o:r>
        <o:r id="V:Rule34" type="connector" idref="#_x0000_s1552">
          <o:proxy start="" idref="#_x0000_s1579" connectloc="3"/>
          <o:proxy end="" idref="#_x0000_s1573" connectloc="3"/>
        </o:r>
        <o:r id="V:Rule35" type="connector" idref="#_x0000_s1540">
          <o:proxy start="" idref="#_x0000_s1568" connectloc="2"/>
          <o:proxy end="" idref="#_x0000_s1570" connectloc="1"/>
        </o:r>
        <o:r id="V:Rule36" type="connector" idref="#_x0000_s1533">
          <o:proxy start="" idref="#_x0000_s1561" connectloc="1"/>
          <o:proxy end="" idref="#_x0000_s1560" connectloc="2"/>
        </o:r>
        <o:r id="V:Rule37" type="connector" idref="#_x0000_s1548">
          <o:proxy start="" idref="#_x0000_s1576" connectloc="3"/>
          <o:proxy end="" idref="#_x0000_s1573" connectloc="3"/>
        </o:r>
        <o:r id="V:Rule38" type="connector" idref="#_x0000_s1546">
          <o:proxy start="" idref="#_x0000_s1573" connectloc="0"/>
          <o:proxy end="" idref="#_x0000_s1572" connectloc="2"/>
        </o:r>
        <o:r id="V:Rule39" type="connector" idref="#_x0000_s1547">
          <o:proxy start="" idref="#_x0000_s1575" connectloc="3"/>
          <o:proxy end="" idref="#_x0000_s1573" connectloc="3"/>
        </o:r>
        <o:r id="V:Rule40" type="connector" idref="#_x0000_s1551">
          <o:proxy start="" idref="#_x0000_s1578" connectloc="1"/>
          <o:proxy end="" idref="#_x0000_s1560" connectloc="2"/>
        </o:r>
        <o:r id="V:Rule41" type="connector" idref="#_x0000_s1538">
          <o:proxy start="" idref="#_x0000_s1565" connectloc="0"/>
          <o:proxy end="" idref="#_x0000_s1570" connectloc="4"/>
        </o:r>
        <o:r id="V:Rule42" type="connector" idref="#_x0000_s1555">
          <o:proxy start="" idref="#_x0000_s1580" connectloc="0"/>
          <o:proxy end="" idref="#_x0000_s1563" connectloc="2"/>
        </o:r>
        <o:r id="V:Rule43" type="connector" idref="#_x0000_s1544">
          <o:proxy start="" idref="#_x0000_s1572" connectloc="3"/>
          <o:proxy end="" idref="#_x0000_s1571" connectloc="3"/>
        </o:r>
        <o:r id="V:Rule44" type="connector" idref="#_x0000_s1539">
          <o:proxy start="" idref="#_x0000_s1563" connectloc="1"/>
          <o:proxy end="" idref="#_x0000_s1562" connectloc="1"/>
        </o:r>
        <o:r id="V:Rule45" type="connector" idref="#_x0000_s1534">
          <o:proxy start="" idref="#_x0000_s1562" connectloc="3"/>
          <o:proxy end="" idref="#_x0000_s1570" connectloc="2"/>
        </o:r>
        <o:r id="V:Rule46" type="connector" idref="#_x0000_s1557">
          <o:proxy start="" idref="#_x0000_s1571" connectloc="0"/>
          <o:proxy end="" idref="#_x0000_s1582" connectloc="2"/>
        </o:r>
        <o:r id="V:Rule47" type="connector" idref="#_x0000_s1553">
          <o:proxy start="" idref="#_x0000_s1581" connectloc="3"/>
          <o:proxy end="" idref="#_x0000_s1573" connectloc="3"/>
        </o:r>
        <o:r id="V:Rule48" type="connector" idref="#_x0000_s1556">
          <o:proxy start="" idref="#_x0000_s1580" connectloc="3"/>
          <o:proxy end="" idref="#_x0000_s1565" connectloc="1"/>
        </o:r>
        <o:r id="V:Rule49" type="connector" idref="#_x0000_s1543">
          <o:proxy start="" idref="#_x0000_s1567" connectloc="3"/>
          <o:proxy end="" idref="#_x0000_s1565" connectloc="2"/>
        </o:r>
        <o:r id="V:Rule50" type="connector" idref="#_x0000_s1545">
          <o:proxy start="" idref="#_x0000_s1570" connectloc="6"/>
          <o:proxy end="" idref="#_x0000_s1572" connectloc="1"/>
        </o:r>
        <o:r id="V:Rule51" type="connector" idref="#_x0000_s1535">
          <o:proxy start="" idref="#_x0000_s1564" connectloc="3"/>
          <o:proxy end="" idref="#_x0000_s1570" connectloc="1"/>
        </o:r>
        <o:r id="V:Rule52" type="connector" idref="#_x0000_s1554">
          <o:proxy start="" idref="#_x0000_s1574" connectloc="4"/>
          <o:proxy end="" idref="#_x0000_s1582" connectloc="0"/>
        </o:r>
      </o:rules>
      <o:regrouptable v:ext="edit">
        <o:entry new="1" old="0"/>
        <o:entry new="2" old="0"/>
        <o:entry new="3" old="0"/>
        <o:entry new="4" old="3"/>
        <o:entry new="5" old="4"/>
        <o:entry new="6" old="0"/>
        <o:entry new="7" old="6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B524D"/>
  </w:style>
  <w:style w:type="paragraph" w:styleId="Heading1">
    <w:name w:val="heading 1"/>
    <w:basedOn w:val="Normal"/>
    <w:next w:val="Normal"/>
    <w:qFormat/>
    <w:rsid w:val="005B524D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qFormat/>
    <w:rsid w:val="005B524D"/>
    <w:pPr>
      <w:keepNext/>
      <w:jc w:val="center"/>
      <w:outlineLvl w:val="1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B524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B524D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rsid w:val="00AF6DF1"/>
    <w:rPr>
      <w:sz w:val="16"/>
      <w:szCs w:val="16"/>
    </w:rPr>
  </w:style>
  <w:style w:type="paragraph" w:styleId="CommentText">
    <w:name w:val="annotation text"/>
    <w:basedOn w:val="Normal"/>
    <w:link w:val="CommentTextChar"/>
    <w:rsid w:val="00AF6DF1"/>
  </w:style>
  <w:style w:type="character" w:customStyle="1" w:styleId="CommentTextChar">
    <w:name w:val="Comment Text Char"/>
    <w:basedOn w:val="DefaultParagraphFont"/>
    <w:link w:val="CommentText"/>
    <w:rsid w:val="00AF6DF1"/>
  </w:style>
  <w:style w:type="paragraph" w:styleId="CommentSubject">
    <w:name w:val="annotation subject"/>
    <w:basedOn w:val="CommentText"/>
    <w:next w:val="CommentText"/>
    <w:link w:val="CommentSubjectChar"/>
    <w:rsid w:val="00AF6D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F6DF1"/>
    <w:rPr>
      <w:b/>
      <w:bCs/>
    </w:rPr>
  </w:style>
  <w:style w:type="paragraph" w:styleId="BalloonText">
    <w:name w:val="Balloon Text"/>
    <w:basedOn w:val="Normal"/>
    <w:link w:val="BalloonTextChar"/>
    <w:rsid w:val="00AF6D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6D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</Words>
  <Characters>95</Characters>
  <Application>Microsoft Office Word</Application>
  <DocSecurity>2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2013-01-30T22:51:00Z</dcterms:created>
  <dcterms:modified xsi:type="dcterms:W3CDTF">2013-01-30T22:51:00Z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